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SEYMOUR COMMUNITY LIBRARY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SUBJECT: Library Closings (Scheduled)</w:t>
        <w:tab/>
        <w:tab/>
        <w:tab/>
        <w:tab/>
        <w:t xml:space="preserve">SECTION: Patron Policies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BOARD APPROVED: 12/2021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POLICY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Seymour Community</w:t>
      </w:r>
      <w:r w:rsidDel="00000000" w:rsidR="00000000" w:rsidRPr="00000000">
        <w:rPr>
          <w:rtl w:val="0"/>
        </w:rPr>
        <w:t xml:space="preserve"> Library will be closed on the following days: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New Year’s Day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Easter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Memorial Day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Independence Day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Labor Day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Columbus Day/Indigenous Peoples Day (second Monday in October)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Thanksgiving Day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Friday after Thanksgiving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Christmas Eve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Christmas Day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New Year’s Eve (close at noon)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When New Year's Day, Independence Day or Christmas Day fall on a Sunday, the library will also be closed on the following Monday.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While the Library observes Martin Luther King, Jr. Day, Presidents’ Day, and Veterans Day, the library will be open.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